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65C8" w14:textId="77777777" w:rsidR="006C4B34" w:rsidRPr="00794322" w:rsidRDefault="00C81192" w:rsidP="006C4B34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794322" w:rsidRPr="00794322">
        <w:rPr>
          <w:rFonts w:ascii="Arial" w:hAnsi="Arial" w:cs="Arial"/>
        </w:rPr>
        <w:t>, 2017</w:t>
      </w:r>
      <w:r w:rsidR="006C4B34" w:rsidRPr="00794322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</w:t>
      </w:r>
      <w:r w:rsidR="00794322">
        <w:rPr>
          <w:rFonts w:ascii="Arial" w:hAnsi="Arial" w:cs="Arial"/>
        </w:rPr>
        <w:t>     </w:t>
      </w:r>
      <w:r w:rsidR="006C4B34" w:rsidRPr="00794322">
        <w:rPr>
          <w:rFonts w:ascii="Arial" w:hAnsi="Arial" w:cs="Arial"/>
        </w:rPr>
        <w:t>MEDIA RELEASE</w:t>
      </w:r>
    </w:p>
    <w:p w14:paraId="78A9F28C" w14:textId="25EA2E64" w:rsidR="00B662A7" w:rsidRPr="00C37D4B" w:rsidRDefault="003F7140" w:rsidP="00C37D4B">
      <w:pPr>
        <w:pStyle w:val="NormalWeb"/>
        <w:shd w:val="clear" w:color="auto" w:fill="FFFFFF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FIIG secures $65 million in Senior Secured Corporate Notes for </w:t>
      </w:r>
      <w:r w:rsidR="00F20A5B">
        <w:rPr>
          <w:rFonts w:ascii="Arial" w:hAnsi="Arial" w:cs="Arial"/>
          <w:b/>
          <w:bCs/>
          <w:color w:val="000000"/>
          <w:sz w:val="22"/>
          <w:szCs w:val="22"/>
        </w:rPr>
        <w:t xml:space="preserve">Lucas Total Contract </w:t>
      </w:r>
      <w:r w:rsidR="00F20A5B" w:rsidRPr="00C37D4B">
        <w:rPr>
          <w:rFonts w:ascii="Calibri" w:hAnsi="Calibri" w:cs="Arial"/>
          <w:b/>
          <w:bCs/>
          <w:color w:val="000000"/>
          <w:sz w:val="24"/>
          <w:szCs w:val="24"/>
        </w:rPr>
        <w:t>Solutions</w:t>
      </w:r>
      <w:r w:rsidR="00B662A7" w:rsidRPr="00C37D4B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bookmarkEnd w:id="0"/>
    </w:p>
    <w:p w14:paraId="2ACACDC3" w14:textId="5ABC44D2" w:rsidR="001C4C16" w:rsidRPr="00C37D4B" w:rsidRDefault="00F20A5B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Lucas Total Contract Solutions Pty Ltd (Lucas TCS)</w:t>
      </w:r>
      <w:r w:rsidR="007B7F59" w:rsidRPr="00C37D4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80F03" w:rsidRPr="00C37D4B">
        <w:rPr>
          <w:rFonts w:ascii="Calibri" w:hAnsi="Calibri" w:cs="Arial"/>
          <w:color w:val="000000"/>
          <w:sz w:val="24"/>
          <w:szCs w:val="24"/>
        </w:rPr>
        <w:t>has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issue</w:t>
      </w:r>
      <w:r w:rsidR="00880F03" w:rsidRPr="00C37D4B">
        <w:rPr>
          <w:rFonts w:ascii="Calibri" w:hAnsi="Calibri" w:cs="Arial"/>
          <w:color w:val="000000"/>
          <w:sz w:val="24"/>
          <w:szCs w:val="24"/>
        </w:rPr>
        <w:t>d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$65</w:t>
      </w:r>
      <w:r w:rsidR="00C724AE" w:rsidRPr="00C37D4B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C37D4B">
        <w:rPr>
          <w:rFonts w:ascii="Calibri" w:hAnsi="Calibri" w:cs="Arial"/>
          <w:color w:val="000000"/>
          <w:sz w:val="24"/>
          <w:szCs w:val="24"/>
        </w:rPr>
        <w:t>m</w:t>
      </w:r>
      <w:r w:rsidR="00C724AE" w:rsidRPr="00C37D4B">
        <w:rPr>
          <w:rFonts w:ascii="Calibri" w:hAnsi="Calibri" w:cs="Arial"/>
          <w:color w:val="000000"/>
          <w:sz w:val="24"/>
          <w:szCs w:val="24"/>
        </w:rPr>
        <w:t>illion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of Senior Secured 5 year </w:t>
      </w:r>
      <w:r w:rsidR="001C4C16" w:rsidRPr="00C37D4B">
        <w:rPr>
          <w:rFonts w:ascii="Calibri" w:hAnsi="Calibri" w:cs="Arial"/>
          <w:color w:val="000000"/>
          <w:sz w:val="24"/>
          <w:szCs w:val="24"/>
        </w:rPr>
        <w:t>Notes</w:t>
      </w:r>
      <w:r w:rsidR="00C81192" w:rsidRPr="00C37D4B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14:paraId="3992C5DA" w14:textId="537550F4" w:rsidR="007D7FDF" w:rsidRPr="00C37D4B" w:rsidRDefault="00F20A5B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The Notes pay a fixed rate of 8.</w:t>
      </w:r>
      <w:r w:rsidR="00241FE8" w:rsidRPr="00C37D4B">
        <w:rPr>
          <w:rFonts w:ascii="Calibri" w:hAnsi="Calibri" w:cs="Arial"/>
          <w:color w:val="000000"/>
          <w:sz w:val="24"/>
          <w:szCs w:val="24"/>
        </w:rPr>
        <w:t>00</w:t>
      </w:r>
      <w:r w:rsidRPr="00C37D4B">
        <w:rPr>
          <w:rFonts w:ascii="Calibri" w:hAnsi="Calibri" w:cs="Arial"/>
          <w:color w:val="000000"/>
          <w:sz w:val="24"/>
          <w:szCs w:val="24"/>
        </w:rPr>
        <w:t>% p</w:t>
      </w:r>
      <w:r w:rsidR="006B441B" w:rsidRPr="00C37D4B">
        <w:rPr>
          <w:rFonts w:ascii="Calibri" w:hAnsi="Calibri" w:cs="Arial"/>
          <w:color w:val="000000"/>
          <w:sz w:val="24"/>
          <w:szCs w:val="24"/>
        </w:rPr>
        <w:t>.</w:t>
      </w:r>
      <w:r w:rsidRPr="00C37D4B">
        <w:rPr>
          <w:rFonts w:ascii="Calibri" w:hAnsi="Calibri" w:cs="Arial"/>
          <w:color w:val="000000"/>
          <w:sz w:val="24"/>
          <w:szCs w:val="24"/>
        </w:rPr>
        <w:t>a</w:t>
      </w:r>
      <w:r w:rsidR="006B441B" w:rsidRPr="00C37D4B">
        <w:rPr>
          <w:rFonts w:ascii="Calibri" w:hAnsi="Calibri" w:cs="Arial"/>
          <w:color w:val="000000"/>
          <w:sz w:val="24"/>
          <w:szCs w:val="24"/>
        </w:rPr>
        <w:t>.</w:t>
      </w:r>
      <w:r w:rsidR="002122DD" w:rsidRPr="00C37D4B">
        <w:rPr>
          <w:rFonts w:ascii="Calibri" w:hAnsi="Calibri" w:cs="Arial"/>
          <w:color w:val="000000"/>
          <w:sz w:val="24"/>
          <w:szCs w:val="24"/>
        </w:rPr>
        <w:t xml:space="preserve"> and </w:t>
      </w:r>
      <w:r w:rsidR="00C724AE" w:rsidRPr="00C37D4B">
        <w:rPr>
          <w:rFonts w:ascii="Calibri" w:hAnsi="Calibri" w:cs="Arial"/>
          <w:color w:val="000000"/>
          <w:sz w:val="24"/>
          <w:szCs w:val="24"/>
        </w:rPr>
        <w:t xml:space="preserve">are secured over the assets of the company </w:t>
      </w:r>
      <w:r w:rsidR="001C4C16" w:rsidRPr="00C37D4B">
        <w:rPr>
          <w:rFonts w:ascii="Calibri" w:hAnsi="Calibri" w:cs="Arial"/>
          <w:color w:val="000000"/>
          <w:sz w:val="24"/>
          <w:szCs w:val="24"/>
        </w:rPr>
        <w:t xml:space="preserve">and will </w:t>
      </w:r>
      <w:r w:rsidR="00DD3D9C" w:rsidRPr="00C37D4B">
        <w:rPr>
          <w:rFonts w:ascii="Calibri" w:hAnsi="Calibri" w:cs="Arial"/>
          <w:color w:val="000000"/>
          <w:sz w:val="24"/>
          <w:szCs w:val="24"/>
        </w:rPr>
        <w:t>amortise over the 5 year term</w:t>
      </w:r>
      <w:r w:rsidR="001C4C16" w:rsidRPr="00C37D4B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7B7F59" w:rsidRPr="00C37D4B">
        <w:rPr>
          <w:rFonts w:ascii="Calibri" w:hAnsi="Calibri" w:cs="Arial"/>
          <w:color w:val="000000"/>
          <w:sz w:val="24"/>
          <w:szCs w:val="24"/>
        </w:rPr>
        <w:t>Lucas TCS is a mining and civil construction company that operates throughout the Australian market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 and </w:t>
      </w:r>
      <w:r w:rsidR="00773124" w:rsidRPr="00C37D4B">
        <w:rPr>
          <w:rFonts w:ascii="Calibri" w:hAnsi="Calibri" w:cs="Arial"/>
          <w:color w:val="000000"/>
          <w:sz w:val="24"/>
          <w:szCs w:val="24"/>
        </w:rPr>
        <w:t xml:space="preserve">is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>ideally positioned to capture the growth</w:t>
      </w:r>
      <w:r w:rsidR="007B7F59" w:rsidRPr="00C37D4B">
        <w:rPr>
          <w:rFonts w:ascii="Calibri" w:hAnsi="Calibri" w:cs="Arial"/>
          <w:color w:val="000000"/>
          <w:sz w:val="24"/>
          <w:szCs w:val="24"/>
        </w:rPr>
        <w:t xml:space="preserve"> in infrastructure investment across the country. </w:t>
      </w:r>
    </w:p>
    <w:p w14:paraId="4EBD1D14" w14:textId="77777777" w:rsidR="00FB18C7" w:rsidRPr="00C37D4B" w:rsidRDefault="00D95B56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Lucas TCS represents the </w:t>
      </w:r>
      <w:r w:rsidR="00F20A5B" w:rsidRPr="00C37D4B">
        <w:rPr>
          <w:rFonts w:ascii="Calibri" w:hAnsi="Calibri" w:cs="Arial"/>
          <w:color w:val="000000"/>
          <w:sz w:val="24"/>
          <w:szCs w:val="24"/>
        </w:rPr>
        <w:t>41</w:t>
      </w:r>
      <w:r w:rsidR="00F20A5B" w:rsidRPr="00C37D4B">
        <w:rPr>
          <w:rFonts w:ascii="Calibri" w:hAnsi="Calibri" w:cs="Arial"/>
          <w:color w:val="000000"/>
          <w:sz w:val="24"/>
          <w:szCs w:val="24"/>
          <w:vertAlign w:val="superscript"/>
        </w:rPr>
        <w:t>st</w:t>
      </w:r>
      <w:r w:rsidR="00F20A5B" w:rsidRPr="00C37D4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B4ADB" w:rsidRPr="00C37D4B">
        <w:rPr>
          <w:rFonts w:ascii="Calibri" w:hAnsi="Calibri" w:cs="Arial"/>
          <w:color w:val="000000"/>
          <w:sz w:val="24"/>
          <w:szCs w:val="24"/>
        </w:rPr>
        <w:t xml:space="preserve">bond 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issue </w:t>
      </w:r>
      <w:r w:rsidR="008B4ADB" w:rsidRPr="00C37D4B">
        <w:rPr>
          <w:rFonts w:ascii="Calibri" w:hAnsi="Calibri" w:cs="Arial"/>
          <w:color w:val="000000"/>
          <w:sz w:val="24"/>
          <w:szCs w:val="24"/>
        </w:rPr>
        <w:t xml:space="preserve">that FIIG Securities has 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arranged </w:t>
      </w:r>
      <w:r w:rsidR="00DD3D9C" w:rsidRPr="00C37D4B">
        <w:rPr>
          <w:rFonts w:ascii="Calibri" w:hAnsi="Calibri" w:cs="Arial"/>
          <w:color w:val="000000"/>
          <w:sz w:val="24"/>
          <w:szCs w:val="24"/>
        </w:rPr>
        <w:t xml:space="preserve">in the last 5 years, </w:t>
      </w:r>
      <w:r w:rsidR="008B4ADB" w:rsidRPr="00C37D4B">
        <w:rPr>
          <w:rFonts w:ascii="Calibri" w:hAnsi="Calibri" w:cs="Arial"/>
          <w:color w:val="000000"/>
          <w:sz w:val="24"/>
          <w:szCs w:val="24"/>
        </w:rPr>
        <w:t>bringi</w:t>
      </w:r>
      <w:r w:rsidR="00F20A5B" w:rsidRPr="00C37D4B">
        <w:rPr>
          <w:rFonts w:ascii="Calibri" w:hAnsi="Calibri" w:cs="Arial"/>
          <w:color w:val="000000"/>
          <w:sz w:val="24"/>
          <w:szCs w:val="24"/>
        </w:rPr>
        <w:t>ng the total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funds</w:t>
      </w:r>
      <w:r w:rsidR="00F20A5B" w:rsidRPr="00C37D4B">
        <w:rPr>
          <w:rFonts w:ascii="Calibri" w:hAnsi="Calibri" w:cs="Arial"/>
          <w:color w:val="000000"/>
          <w:sz w:val="24"/>
          <w:szCs w:val="24"/>
        </w:rPr>
        <w:t xml:space="preserve"> raised to over $1.7</w:t>
      </w:r>
      <w:r w:rsidR="008B4ADB" w:rsidRPr="00C37D4B">
        <w:rPr>
          <w:rFonts w:ascii="Calibri" w:hAnsi="Calibri" w:cs="Arial"/>
          <w:color w:val="000000"/>
          <w:sz w:val="24"/>
          <w:szCs w:val="24"/>
        </w:rPr>
        <w:t xml:space="preserve"> billion.</w:t>
      </w:r>
      <w:r w:rsidR="00213D57" w:rsidRPr="00C37D4B">
        <w:rPr>
          <w:rFonts w:ascii="Calibri" w:hAnsi="Calibri" w:cs="Arial"/>
          <w:color w:val="000000"/>
          <w:sz w:val="24"/>
          <w:szCs w:val="24"/>
        </w:rPr>
        <w:t xml:space="preserve"> Th</w:t>
      </w:r>
      <w:r w:rsidRPr="00C37D4B">
        <w:rPr>
          <w:rFonts w:ascii="Calibri" w:hAnsi="Calibri" w:cs="Arial"/>
          <w:color w:val="000000"/>
          <w:sz w:val="24"/>
          <w:szCs w:val="24"/>
        </w:rPr>
        <w:t>e</w:t>
      </w:r>
      <w:r w:rsidR="00213D57" w:rsidRPr="00C37D4B">
        <w:rPr>
          <w:rFonts w:ascii="Calibri" w:hAnsi="Calibri" w:cs="Arial"/>
          <w:color w:val="000000"/>
          <w:sz w:val="24"/>
          <w:szCs w:val="24"/>
        </w:rPr>
        <w:t xml:space="preserve"> Notes issue </w:t>
      </w:r>
      <w:r w:rsidR="007238CD" w:rsidRPr="00C37D4B">
        <w:rPr>
          <w:rFonts w:ascii="Calibri" w:hAnsi="Calibri" w:cs="Arial"/>
          <w:color w:val="000000"/>
          <w:sz w:val="24"/>
          <w:szCs w:val="24"/>
        </w:rPr>
        <w:t xml:space="preserve">is 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also the </w:t>
      </w:r>
      <w:r w:rsidR="00213D57" w:rsidRPr="00C37D4B">
        <w:rPr>
          <w:rFonts w:ascii="Calibri" w:hAnsi="Calibri" w:cs="Arial"/>
          <w:color w:val="000000"/>
          <w:sz w:val="24"/>
          <w:szCs w:val="24"/>
        </w:rPr>
        <w:t xml:space="preserve">first </w:t>
      </w:r>
      <w:r w:rsidR="00D33B75" w:rsidRPr="00C37D4B">
        <w:rPr>
          <w:rFonts w:ascii="Calibri" w:hAnsi="Calibri" w:cs="Arial"/>
          <w:color w:val="000000"/>
          <w:sz w:val="24"/>
          <w:szCs w:val="24"/>
        </w:rPr>
        <w:t xml:space="preserve">bond arranged </w:t>
      </w:r>
      <w:r w:rsidR="007238CD" w:rsidRPr="00C37D4B">
        <w:rPr>
          <w:rFonts w:ascii="Calibri" w:hAnsi="Calibri" w:cs="Arial"/>
          <w:color w:val="000000"/>
          <w:sz w:val="24"/>
          <w:szCs w:val="24"/>
        </w:rPr>
        <w:t>for</w:t>
      </w:r>
      <w:r w:rsidR="00D33B75" w:rsidRPr="00C37D4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238CD" w:rsidRPr="00C37D4B">
        <w:rPr>
          <w:rFonts w:ascii="Calibri" w:hAnsi="Calibri" w:cs="Arial"/>
          <w:color w:val="000000"/>
          <w:sz w:val="24"/>
          <w:szCs w:val="24"/>
        </w:rPr>
        <w:t xml:space="preserve">a </w:t>
      </w:r>
      <w:r w:rsidR="00213D57" w:rsidRPr="00C37D4B">
        <w:rPr>
          <w:rFonts w:ascii="Calibri" w:hAnsi="Calibri" w:cs="Arial"/>
          <w:color w:val="000000"/>
          <w:sz w:val="24"/>
          <w:szCs w:val="24"/>
        </w:rPr>
        <w:t xml:space="preserve">South Australian </w:t>
      </w:r>
      <w:r w:rsidR="007238CD" w:rsidRPr="00C37D4B">
        <w:rPr>
          <w:rFonts w:ascii="Calibri" w:hAnsi="Calibri" w:cs="Arial"/>
          <w:color w:val="000000"/>
          <w:sz w:val="24"/>
          <w:szCs w:val="24"/>
        </w:rPr>
        <w:t xml:space="preserve">company </w:t>
      </w:r>
      <w:r w:rsidR="00D33B75" w:rsidRPr="00C37D4B">
        <w:rPr>
          <w:rFonts w:ascii="Calibri" w:hAnsi="Calibri" w:cs="Arial"/>
          <w:color w:val="000000"/>
          <w:sz w:val="24"/>
          <w:szCs w:val="24"/>
        </w:rPr>
        <w:t xml:space="preserve">by FIIG. </w:t>
      </w:r>
    </w:p>
    <w:p w14:paraId="48115CC9" w14:textId="4E3AFD74" w:rsidR="000B7903" w:rsidRPr="00C37D4B" w:rsidRDefault="00FB18C7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FIIG Securities Head of Debt Capital Markets John Ricciotti said, “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>We</w:t>
      </w:r>
      <w:r w:rsidR="00A85410" w:rsidRPr="00C37D4B">
        <w:rPr>
          <w:rFonts w:ascii="Calibri" w:hAnsi="Calibri" w:cs="Arial"/>
          <w:color w:val="000000"/>
          <w:sz w:val="24"/>
          <w:szCs w:val="24"/>
        </w:rPr>
        <w:t xml:space="preserve"> ar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 xml:space="preserve">e pleased with the strong support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shown 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 xml:space="preserve">for the </w:t>
      </w:r>
      <w:r w:rsidR="008D2567" w:rsidRPr="00C37D4B">
        <w:rPr>
          <w:rFonts w:ascii="Calibri" w:hAnsi="Calibri" w:cs="Arial"/>
          <w:color w:val="000000"/>
          <w:sz w:val="24"/>
          <w:szCs w:val="24"/>
        </w:rPr>
        <w:t>Lucas TCS bond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 xml:space="preserve"> from across the FIIG network, particularly from investors in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its home base of 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>South Au</w:t>
      </w:r>
      <w:r w:rsidR="00F10BDD" w:rsidRPr="00C37D4B">
        <w:rPr>
          <w:rFonts w:ascii="Calibri" w:hAnsi="Calibri" w:cs="Arial"/>
          <w:color w:val="000000"/>
          <w:sz w:val="24"/>
          <w:szCs w:val="24"/>
        </w:rPr>
        <w:t>stralia</w:t>
      </w:r>
      <w:r w:rsidR="000B7903" w:rsidRPr="00C37D4B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8D2567" w:rsidRPr="00C37D4B"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>Notes were oversubscribed, which saw the issue closed at the top of the issue range of $65 million.</w:t>
      </w:r>
    </w:p>
    <w:p w14:paraId="5D2160A9" w14:textId="5314F10C" w:rsidR="000B7903" w:rsidRPr="00C37D4B" w:rsidRDefault="000B7903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“Lucas TCS</w:t>
      </w:r>
      <w:r w:rsidR="00F10BDD" w:rsidRPr="00C37D4B">
        <w:rPr>
          <w:rFonts w:ascii="Calibri" w:hAnsi="Calibri" w:cs="Arial"/>
          <w:color w:val="000000"/>
          <w:sz w:val="24"/>
          <w:szCs w:val="24"/>
        </w:rPr>
        <w:t>’s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10BDD" w:rsidRPr="00C37D4B">
        <w:rPr>
          <w:rFonts w:ascii="Calibri" w:hAnsi="Calibri" w:cs="Arial"/>
          <w:color w:val="000000"/>
          <w:sz w:val="24"/>
          <w:szCs w:val="24"/>
        </w:rPr>
        <w:t>successful histo</w:t>
      </w:r>
      <w:r w:rsidR="00022522" w:rsidRPr="00C37D4B">
        <w:rPr>
          <w:rFonts w:ascii="Calibri" w:hAnsi="Calibri" w:cs="Arial"/>
          <w:color w:val="000000"/>
          <w:sz w:val="24"/>
          <w:szCs w:val="24"/>
        </w:rPr>
        <w:t xml:space="preserve">ry in the civil services sector, coupled with </w:t>
      </w:r>
      <w:r w:rsidR="00773124" w:rsidRPr="00C37D4B">
        <w:rPr>
          <w:rFonts w:ascii="Calibri" w:hAnsi="Calibri" w:cs="Arial"/>
          <w:color w:val="000000"/>
          <w:sz w:val="24"/>
          <w:szCs w:val="24"/>
        </w:rPr>
        <w:t xml:space="preserve">a growing pipeline of </w:t>
      </w:r>
      <w:r w:rsidR="00F10BDD" w:rsidRPr="00C37D4B">
        <w:rPr>
          <w:rFonts w:ascii="Calibri" w:hAnsi="Calibri" w:cs="Arial"/>
          <w:color w:val="000000"/>
          <w:sz w:val="24"/>
          <w:szCs w:val="24"/>
        </w:rPr>
        <w:t>infrastructure investment fr</w:t>
      </w:r>
      <w:r w:rsidR="00223E91" w:rsidRPr="00C37D4B">
        <w:rPr>
          <w:rFonts w:ascii="Calibri" w:hAnsi="Calibri" w:cs="Arial"/>
          <w:color w:val="000000"/>
          <w:sz w:val="24"/>
          <w:szCs w:val="24"/>
        </w:rPr>
        <w:t xml:space="preserve">om Federal and State Government, </w:t>
      </w:r>
      <w:r w:rsidR="00F10BDD" w:rsidRPr="00C37D4B">
        <w:rPr>
          <w:rFonts w:ascii="Calibri" w:hAnsi="Calibri" w:cs="Arial"/>
          <w:color w:val="000000"/>
          <w:sz w:val="24"/>
          <w:szCs w:val="24"/>
        </w:rPr>
        <w:t xml:space="preserve">make it a robust value proposition for investors,” he said. </w:t>
      </w:r>
    </w:p>
    <w:p w14:paraId="1B1BB1EE" w14:textId="77777777" w:rsidR="00223E91" w:rsidRPr="00C37D4B" w:rsidRDefault="00223E91" w:rsidP="00223E91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The Notes will simplify Lucas’ capital structure by consolidating its multiple debt providers, extending funding maturities and providing liquidity to support growth opportunities. </w:t>
      </w:r>
    </w:p>
    <w:p w14:paraId="6DDC8D2E" w14:textId="4DFE7D98" w:rsidR="00050D53" w:rsidRPr="00C37D4B" w:rsidRDefault="00223E91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“As FIIG’s 41</w:t>
      </w:r>
      <w:r w:rsidRPr="00C37D4B">
        <w:rPr>
          <w:rFonts w:ascii="Calibri" w:hAnsi="Calibri" w:cs="Arial"/>
          <w:color w:val="000000"/>
          <w:sz w:val="24"/>
          <w:szCs w:val="24"/>
          <w:vertAlign w:val="superscript"/>
        </w:rPr>
        <w:t>st</w:t>
      </w:r>
      <w:r w:rsidRPr="00C37D4B">
        <w:rPr>
          <w:rFonts w:ascii="Calibri" w:hAnsi="Calibri" w:cs="Arial"/>
          <w:color w:val="000000"/>
          <w:sz w:val="24"/>
          <w:szCs w:val="24"/>
        </w:rPr>
        <w:t xml:space="preserve"> issue, Lucas TCS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continues </w:t>
      </w:r>
      <w:r w:rsidR="00194A01" w:rsidRPr="00C37D4B">
        <w:rPr>
          <w:rFonts w:ascii="Calibri" w:hAnsi="Calibri" w:cs="Arial"/>
          <w:color w:val="000000"/>
          <w:sz w:val="24"/>
          <w:szCs w:val="24"/>
        </w:rPr>
        <w:t xml:space="preserve">a trend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of </w:t>
      </w:r>
      <w:r w:rsidR="00411DB6" w:rsidRPr="00C37D4B">
        <w:rPr>
          <w:rFonts w:ascii="Calibri" w:hAnsi="Calibri" w:cs="Arial"/>
          <w:color w:val="000000"/>
          <w:sz w:val="24"/>
          <w:szCs w:val="24"/>
        </w:rPr>
        <w:t xml:space="preserve">well-established Australian companies </w:t>
      </w:r>
      <w:r w:rsidR="00773124" w:rsidRPr="00C37D4B">
        <w:rPr>
          <w:rFonts w:ascii="Calibri" w:hAnsi="Calibri" w:cs="Arial"/>
          <w:color w:val="000000"/>
          <w:sz w:val="24"/>
          <w:szCs w:val="24"/>
        </w:rPr>
        <w:t xml:space="preserve">seeking to </w:t>
      </w:r>
      <w:r w:rsidR="00411DB6" w:rsidRPr="00C37D4B">
        <w:rPr>
          <w:rFonts w:ascii="Calibri" w:hAnsi="Calibri" w:cs="Arial"/>
          <w:color w:val="000000"/>
          <w:sz w:val="24"/>
          <w:szCs w:val="24"/>
        </w:rPr>
        <w:t xml:space="preserve">access flexible </w:t>
      </w:r>
      <w:r w:rsidR="00194A01" w:rsidRPr="00C37D4B">
        <w:rPr>
          <w:rFonts w:ascii="Calibri" w:hAnsi="Calibri" w:cs="Arial"/>
          <w:color w:val="000000"/>
          <w:sz w:val="24"/>
          <w:szCs w:val="24"/>
        </w:rPr>
        <w:t xml:space="preserve">funding options to support growth. This issue will allow </w:t>
      </w:r>
      <w:r w:rsidR="00FB18C7" w:rsidRPr="00C37D4B">
        <w:rPr>
          <w:rFonts w:ascii="Calibri" w:hAnsi="Calibri" w:cs="Arial"/>
          <w:color w:val="000000"/>
          <w:sz w:val="24"/>
          <w:szCs w:val="24"/>
        </w:rPr>
        <w:t>Lucas TCS to simplify its funding structure and increase operating flexibility as it targets projects in the Austra</w:t>
      </w:r>
      <w:r w:rsidR="00194A01" w:rsidRPr="00C37D4B">
        <w:rPr>
          <w:rFonts w:ascii="Calibri" w:hAnsi="Calibri" w:cs="Arial"/>
          <w:color w:val="000000"/>
          <w:sz w:val="24"/>
          <w:szCs w:val="24"/>
        </w:rPr>
        <w:t>lian</w:t>
      </w:r>
      <w:r w:rsidR="00050D53" w:rsidRPr="00C37D4B">
        <w:rPr>
          <w:rFonts w:ascii="Calibri" w:hAnsi="Calibri" w:cs="Arial"/>
          <w:color w:val="000000"/>
          <w:sz w:val="24"/>
          <w:szCs w:val="24"/>
        </w:rPr>
        <w:t xml:space="preserve"> Infrastructure sector</w:t>
      </w:r>
      <w:r w:rsidR="00DB11E3" w:rsidRPr="00C37D4B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14:paraId="4072B887" w14:textId="3F49D8B8" w:rsidR="00DB11E3" w:rsidRPr="00C37D4B" w:rsidRDefault="00050D53" w:rsidP="00DB11E3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“</w:t>
      </w:r>
      <w:r w:rsidR="007208D5" w:rsidRPr="00C37D4B">
        <w:rPr>
          <w:rFonts w:ascii="Calibri" w:hAnsi="Calibri" w:cs="Arial"/>
          <w:color w:val="000000"/>
          <w:sz w:val="24"/>
          <w:szCs w:val="24"/>
        </w:rPr>
        <w:t xml:space="preserve">It’s vital for mid-tier companies to be able access tailored solutions to take advantage of market opportunities, and FIIG is proud to be able to facilitate this through 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arranging funding in the Australian </w:t>
      </w:r>
      <w:r w:rsidR="007208D5" w:rsidRPr="00C37D4B">
        <w:rPr>
          <w:rFonts w:ascii="Calibri" w:hAnsi="Calibri" w:cs="Arial"/>
          <w:color w:val="000000"/>
          <w:sz w:val="24"/>
          <w:szCs w:val="24"/>
        </w:rPr>
        <w:t>bond</w:t>
      </w:r>
      <w:r w:rsidR="00BB1901" w:rsidRPr="00C37D4B">
        <w:rPr>
          <w:rFonts w:ascii="Calibri" w:hAnsi="Calibri" w:cs="Arial"/>
          <w:color w:val="000000"/>
          <w:sz w:val="24"/>
          <w:szCs w:val="24"/>
        </w:rPr>
        <w:t xml:space="preserve"> market</w:t>
      </w:r>
      <w:r w:rsidR="00410F0B" w:rsidRPr="00C37D4B">
        <w:rPr>
          <w:rFonts w:ascii="Calibri" w:hAnsi="Calibri" w:cs="Arial"/>
          <w:color w:val="000000"/>
          <w:sz w:val="24"/>
          <w:szCs w:val="24"/>
        </w:rPr>
        <w:t xml:space="preserve">,” Ricciotti said. </w:t>
      </w:r>
    </w:p>
    <w:p w14:paraId="2FE49733" w14:textId="77777777" w:rsidR="00955020" w:rsidRPr="00C37D4B" w:rsidRDefault="00955020" w:rsidP="00955020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Lucas TCS Director and CEO said, “After being approached by FIIG we soon realised that undertaking this Notes Issue would deliver a superior outcome for Lucas TCS in terms of effectiveness of funding, flexibility and simplification compared to traditional financing arrangements. </w:t>
      </w:r>
    </w:p>
    <w:p w14:paraId="463E3D29" w14:textId="45B0BEFD" w:rsidR="00955020" w:rsidRPr="00C37D4B" w:rsidRDefault="00955020" w:rsidP="00955020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“Due to increased levels of activity and Major projects that Lucas TCS Group is delivering saw us outgrow the structure that had been in place for some time. Having this 5 year arrangement in place is a great result and reinforces the strength and capability we have become recognised for, in addition to allowing us to take advantage of numerous future opportunities.</w:t>
      </w:r>
    </w:p>
    <w:p w14:paraId="5CBD1D9E" w14:textId="2422D6A7" w:rsidR="00955020" w:rsidRPr="00C37D4B" w:rsidRDefault="00955020" w:rsidP="00955020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lastRenderedPageBreak/>
        <w:t>“The fact that the Notes were oversubscribed was a fantastic indicator in investor confidence in Lucas TCS which is operating in the buoyant civil construction and resources sectors both in SA and Nationally.</w:t>
      </w:r>
    </w:p>
    <w:p w14:paraId="5E261A6D" w14:textId="6EBF7732" w:rsidR="00955020" w:rsidRPr="00C37D4B" w:rsidRDefault="00955020" w:rsidP="00955020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“We were thrilled that not only a large number of investors were South Australian investing in our SA based Company but were also from right around the country.</w:t>
      </w:r>
    </w:p>
    <w:p w14:paraId="3ACDF356" w14:textId="78B0708A" w:rsidR="00955020" w:rsidRPr="00C37D4B" w:rsidRDefault="00955020" w:rsidP="00DB11E3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“Working with FIIG through the process demonstrated their professionalism, which made it a relatively straightforward process. Our internal team, advisors and the FIIG team did an exceptional </w:t>
      </w:r>
      <w:r w:rsidR="009D79AD">
        <w:rPr>
          <w:rFonts w:ascii="Calibri" w:hAnsi="Calibri" w:cs="Arial"/>
          <w:color w:val="000000"/>
          <w:sz w:val="24"/>
          <w:szCs w:val="24"/>
        </w:rPr>
        <w:t>j</w:t>
      </w:r>
      <w:r w:rsidRPr="00C37D4B">
        <w:rPr>
          <w:rFonts w:ascii="Calibri" w:hAnsi="Calibri" w:cs="Arial"/>
          <w:color w:val="000000"/>
          <w:sz w:val="24"/>
          <w:szCs w:val="24"/>
        </w:rPr>
        <w:t>ob bringing it all together and delivering an outstanding result.”</w:t>
      </w:r>
    </w:p>
    <w:p w14:paraId="2E8141FE" w14:textId="77777777" w:rsidR="00B662A7" w:rsidRPr="00C37D4B" w:rsidRDefault="00B662A7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>FIIG Securities Limited, which is licensed by the Australian Securities and Investments Commission (ASIC), is Australia’s largest specialist fixed-income dealer.</w:t>
      </w:r>
    </w:p>
    <w:p w14:paraId="109ADE50" w14:textId="53B0EC7B" w:rsidR="005B53BE" w:rsidRPr="00C37D4B" w:rsidRDefault="005B53BE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Lucas TCS provides a range of services including construction &amp; maintenance, bulk material supply &amp; earthworks, labour &amp; plant hire, waste management, remediation, marine infrastructure, heavy haulage &amp; logistics, mobile camp provision, air transport and plant maintenance.  </w:t>
      </w:r>
      <w:r w:rsidR="00FB18C7" w:rsidRPr="00C37D4B">
        <w:rPr>
          <w:rFonts w:ascii="Calibri" w:hAnsi="Calibri" w:cs="Arial"/>
          <w:color w:val="000000"/>
          <w:sz w:val="24"/>
          <w:szCs w:val="24"/>
        </w:rPr>
        <w:t>Established in 1969 Lucas TCS has been a key participant in civil construction projects including South Australia's largest infrastructure project New Royal Adelaide Hospital.</w:t>
      </w:r>
    </w:p>
    <w:p w14:paraId="204F50D9" w14:textId="77777777" w:rsidR="00B662A7" w:rsidRPr="00C37D4B" w:rsidRDefault="00B662A7" w:rsidP="00C81192">
      <w:pPr>
        <w:pStyle w:val="NormalWeb"/>
        <w:shd w:val="clear" w:color="auto" w:fill="FFFFFF"/>
        <w:jc w:val="both"/>
        <w:rPr>
          <w:rFonts w:ascii="Calibri" w:hAnsi="Calibri" w:cs="Arial"/>
          <w:color w:val="000000"/>
          <w:sz w:val="24"/>
          <w:szCs w:val="24"/>
        </w:rPr>
      </w:pPr>
      <w:r w:rsidRPr="00C37D4B">
        <w:rPr>
          <w:rFonts w:ascii="Calibri" w:hAnsi="Calibri" w:cs="Arial"/>
          <w:color w:val="000000"/>
          <w:sz w:val="24"/>
          <w:szCs w:val="24"/>
        </w:rPr>
        <w:t xml:space="preserve">For more information about FIIG Securities please visit </w:t>
      </w:r>
      <w:hyperlink r:id="rId6" w:history="1">
        <w:r w:rsidRPr="00C37D4B">
          <w:rPr>
            <w:rStyle w:val="Hyperlink"/>
            <w:rFonts w:ascii="Calibri" w:hAnsi="Calibri" w:cs="Arial"/>
            <w:color w:val="0563C1"/>
            <w:sz w:val="24"/>
            <w:szCs w:val="24"/>
          </w:rPr>
          <w:t>www.fiig.com.au</w:t>
        </w:r>
      </w:hyperlink>
    </w:p>
    <w:p w14:paraId="1DDD47A3" w14:textId="77777777" w:rsidR="00BC3FF6" w:rsidRPr="00C37D4B" w:rsidRDefault="00BC3FF6" w:rsidP="00BC3FF6">
      <w:pPr>
        <w:pBdr>
          <w:bottom w:val="single" w:sz="4" w:space="1" w:color="auto"/>
        </w:pBdr>
        <w:spacing w:after="120" w:line="240" w:lineRule="auto"/>
        <w:rPr>
          <w:sz w:val="24"/>
          <w:szCs w:val="24"/>
        </w:rPr>
      </w:pPr>
      <w:r w:rsidRPr="00C37D4B">
        <w:rPr>
          <w:sz w:val="24"/>
          <w:szCs w:val="24"/>
        </w:rPr>
        <w:t>ENDS</w:t>
      </w:r>
    </w:p>
    <w:p w14:paraId="141E97BC" w14:textId="77777777" w:rsidR="00022522" w:rsidRPr="00C37D4B" w:rsidRDefault="00BC3FF6" w:rsidP="00BC3FF6">
      <w:pPr>
        <w:spacing w:after="120" w:line="240" w:lineRule="auto"/>
        <w:rPr>
          <w:sz w:val="24"/>
          <w:szCs w:val="24"/>
        </w:rPr>
      </w:pPr>
      <w:r w:rsidRPr="00C37D4B">
        <w:rPr>
          <w:sz w:val="24"/>
          <w:szCs w:val="24"/>
        </w:rPr>
        <w:t>Media enquiries to:</w:t>
      </w:r>
      <w:r w:rsidR="00022522" w:rsidRPr="00C37D4B">
        <w:rPr>
          <w:sz w:val="24"/>
          <w:szCs w:val="24"/>
        </w:rPr>
        <w:t xml:space="preserve"> </w:t>
      </w:r>
    </w:p>
    <w:p w14:paraId="4D11F189" w14:textId="74AFCACE" w:rsidR="00BC3FF6" w:rsidRPr="00C37D4B" w:rsidRDefault="00022522" w:rsidP="00BC3FF6">
      <w:pPr>
        <w:spacing w:after="120" w:line="240" w:lineRule="auto"/>
        <w:rPr>
          <w:sz w:val="24"/>
          <w:szCs w:val="24"/>
        </w:rPr>
      </w:pPr>
      <w:r w:rsidRPr="00C37D4B">
        <w:rPr>
          <w:sz w:val="24"/>
          <w:szCs w:val="24"/>
        </w:rPr>
        <w:t xml:space="preserve">Alexis Carroll or Kimberly Riddell </w:t>
      </w:r>
    </w:p>
    <w:p w14:paraId="170433EE" w14:textId="53665325" w:rsidR="00022522" w:rsidRPr="00C37D4B" w:rsidRDefault="00802406" w:rsidP="00BC3FF6">
      <w:pPr>
        <w:spacing w:after="120" w:line="240" w:lineRule="auto"/>
        <w:rPr>
          <w:sz w:val="24"/>
          <w:szCs w:val="24"/>
        </w:rPr>
      </w:pPr>
      <w:hyperlink r:id="rId7" w:history="1">
        <w:r w:rsidR="00022522" w:rsidRPr="00C37D4B">
          <w:rPr>
            <w:rStyle w:val="Hyperlink"/>
            <w:sz w:val="24"/>
            <w:szCs w:val="24"/>
          </w:rPr>
          <w:t>FIIG@decpr.com.au</w:t>
        </w:r>
      </w:hyperlink>
      <w:r w:rsidR="00022522" w:rsidRPr="00C37D4B">
        <w:rPr>
          <w:sz w:val="24"/>
          <w:szCs w:val="24"/>
        </w:rPr>
        <w:t xml:space="preserve"> </w:t>
      </w:r>
    </w:p>
    <w:p w14:paraId="179089F6" w14:textId="254DB90B" w:rsidR="00022522" w:rsidRPr="00C37D4B" w:rsidRDefault="00022522" w:rsidP="00BC3FF6">
      <w:pPr>
        <w:spacing w:after="120" w:line="240" w:lineRule="auto"/>
        <w:rPr>
          <w:sz w:val="24"/>
          <w:szCs w:val="24"/>
        </w:rPr>
      </w:pPr>
      <w:r w:rsidRPr="00C37D4B">
        <w:rPr>
          <w:sz w:val="24"/>
          <w:szCs w:val="24"/>
        </w:rPr>
        <w:t>02 80</w:t>
      </w:r>
      <w:r w:rsidR="001452B1" w:rsidRPr="00C37D4B">
        <w:rPr>
          <w:sz w:val="24"/>
          <w:szCs w:val="24"/>
        </w:rPr>
        <w:t>14 5033</w:t>
      </w:r>
    </w:p>
    <w:p w14:paraId="446BECE3" w14:textId="77777777" w:rsidR="001B106F" w:rsidRPr="00C37D4B" w:rsidRDefault="001B106F" w:rsidP="00BC3FF6">
      <w:pPr>
        <w:rPr>
          <w:rFonts w:cs="Arial"/>
          <w:sz w:val="24"/>
          <w:szCs w:val="24"/>
        </w:rPr>
      </w:pPr>
    </w:p>
    <w:sectPr w:rsidR="001B106F" w:rsidRPr="00C37D4B" w:rsidSect="00794322">
      <w:headerReference w:type="default" r:id="rId8"/>
      <w:pgSz w:w="11906" w:h="16838"/>
      <w:pgMar w:top="1985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68F3" w14:textId="77777777" w:rsidR="00802406" w:rsidRDefault="00802406" w:rsidP="006F10F4">
      <w:pPr>
        <w:spacing w:after="0" w:line="240" w:lineRule="auto"/>
      </w:pPr>
      <w:r>
        <w:separator/>
      </w:r>
    </w:p>
  </w:endnote>
  <w:endnote w:type="continuationSeparator" w:id="0">
    <w:p w14:paraId="478C1FB2" w14:textId="77777777" w:rsidR="00802406" w:rsidRDefault="00802406" w:rsidP="006F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E76D8" w14:textId="77777777" w:rsidR="00802406" w:rsidRDefault="00802406" w:rsidP="006F10F4">
      <w:pPr>
        <w:spacing w:after="0" w:line="240" w:lineRule="auto"/>
      </w:pPr>
      <w:r>
        <w:separator/>
      </w:r>
    </w:p>
  </w:footnote>
  <w:footnote w:type="continuationSeparator" w:id="0">
    <w:p w14:paraId="718C0CF7" w14:textId="77777777" w:rsidR="00802406" w:rsidRDefault="00802406" w:rsidP="006F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9839" w14:textId="77777777" w:rsidR="000A5F26" w:rsidRDefault="000A5F26" w:rsidP="00330ED4">
    <w:pPr>
      <w:pStyle w:val="Header"/>
      <w:tabs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1B11C1F" wp14:editId="7290ACBF">
          <wp:simplePos x="0" y="0"/>
          <wp:positionH relativeFrom="column">
            <wp:posOffset>4276725</wp:posOffset>
          </wp:positionH>
          <wp:positionV relativeFrom="paragraph">
            <wp:posOffset>-1905</wp:posOffset>
          </wp:positionV>
          <wp:extent cx="1963721" cy="638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IG Logo-Horizontal-Light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721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31"/>
    <w:rsid w:val="00002327"/>
    <w:rsid w:val="00004FD9"/>
    <w:rsid w:val="00017781"/>
    <w:rsid w:val="00022522"/>
    <w:rsid w:val="0002315C"/>
    <w:rsid w:val="0002749E"/>
    <w:rsid w:val="0004498B"/>
    <w:rsid w:val="00050D53"/>
    <w:rsid w:val="000530AE"/>
    <w:rsid w:val="00053B64"/>
    <w:rsid w:val="000574FA"/>
    <w:rsid w:val="00057A87"/>
    <w:rsid w:val="00060A29"/>
    <w:rsid w:val="0006784A"/>
    <w:rsid w:val="00081C5A"/>
    <w:rsid w:val="00085676"/>
    <w:rsid w:val="00097D17"/>
    <w:rsid w:val="000A058D"/>
    <w:rsid w:val="000A1ECC"/>
    <w:rsid w:val="000A5F26"/>
    <w:rsid w:val="000A7B1A"/>
    <w:rsid w:val="000B341B"/>
    <w:rsid w:val="000B7903"/>
    <w:rsid w:val="000C0354"/>
    <w:rsid w:val="000C064F"/>
    <w:rsid w:val="000D2783"/>
    <w:rsid w:val="000D3748"/>
    <w:rsid w:val="000D76A4"/>
    <w:rsid w:val="000F0759"/>
    <w:rsid w:val="0010285F"/>
    <w:rsid w:val="001122ED"/>
    <w:rsid w:val="00122549"/>
    <w:rsid w:val="0012285E"/>
    <w:rsid w:val="0012450B"/>
    <w:rsid w:val="00131604"/>
    <w:rsid w:val="0013413C"/>
    <w:rsid w:val="00136E4A"/>
    <w:rsid w:val="001410F6"/>
    <w:rsid w:val="00141666"/>
    <w:rsid w:val="00143CCE"/>
    <w:rsid w:val="001452B1"/>
    <w:rsid w:val="001477A8"/>
    <w:rsid w:val="001627E4"/>
    <w:rsid w:val="00183992"/>
    <w:rsid w:val="00183CDC"/>
    <w:rsid w:val="00183D87"/>
    <w:rsid w:val="00183F30"/>
    <w:rsid w:val="00185A2E"/>
    <w:rsid w:val="00191572"/>
    <w:rsid w:val="00194A01"/>
    <w:rsid w:val="00196B11"/>
    <w:rsid w:val="001B106F"/>
    <w:rsid w:val="001C0638"/>
    <w:rsid w:val="001C1396"/>
    <w:rsid w:val="001C27A1"/>
    <w:rsid w:val="001C4C16"/>
    <w:rsid w:val="001D375F"/>
    <w:rsid w:val="001D3985"/>
    <w:rsid w:val="001D708D"/>
    <w:rsid w:val="001E184A"/>
    <w:rsid w:val="001E212C"/>
    <w:rsid w:val="001E7B8A"/>
    <w:rsid w:val="002122DD"/>
    <w:rsid w:val="00213D57"/>
    <w:rsid w:val="00217478"/>
    <w:rsid w:val="00222CE4"/>
    <w:rsid w:val="00223E91"/>
    <w:rsid w:val="002318C6"/>
    <w:rsid w:val="00236B7B"/>
    <w:rsid w:val="00237011"/>
    <w:rsid w:val="002413F8"/>
    <w:rsid w:val="00241FE8"/>
    <w:rsid w:val="00244D01"/>
    <w:rsid w:val="00251E06"/>
    <w:rsid w:val="00262ECD"/>
    <w:rsid w:val="00271C5B"/>
    <w:rsid w:val="0027210D"/>
    <w:rsid w:val="0027303E"/>
    <w:rsid w:val="002818DF"/>
    <w:rsid w:val="00283207"/>
    <w:rsid w:val="00287DDC"/>
    <w:rsid w:val="0029262F"/>
    <w:rsid w:val="002A4BBF"/>
    <w:rsid w:val="002A4FE3"/>
    <w:rsid w:val="002A6FEB"/>
    <w:rsid w:val="002B250D"/>
    <w:rsid w:val="002C2DF4"/>
    <w:rsid w:val="002D36F4"/>
    <w:rsid w:val="002D5DC8"/>
    <w:rsid w:val="002D715E"/>
    <w:rsid w:val="002F47B2"/>
    <w:rsid w:val="003023C7"/>
    <w:rsid w:val="00313B3F"/>
    <w:rsid w:val="00316E5D"/>
    <w:rsid w:val="00324E31"/>
    <w:rsid w:val="003271A9"/>
    <w:rsid w:val="00330ED4"/>
    <w:rsid w:val="00332C14"/>
    <w:rsid w:val="00334DAA"/>
    <w:rsid w:val="00336210"/>
    <w:rsid w:val="003426C9"/>
    <w:rsid w:val="0035072C"/>
    <w:rsid w:val="00354E08"/>
    <w:rsid w:val="00357EC9"/>
    <w:rsid w:val="003615AD"/>
    <w:rsid w:val="00364075"/>
    <w:rsid w:val="00383B49"/>
    <w:rsid w:val="00386C64"/>
    <w:rsid w:val="0039595A"/>
    <w:rsid w:val="003A2542"/>
    <w:rsid w:val="003A44FA"/>
    <w:rsid w:val="003A75F9"/>
    <w:rsid w:val="003B14A2"/>
    <w:rsid w:val="003C0E7C"/>
    <w:rsid w:val="003C1F29"/>
    <w:rsid w:val="003E4500"/>
    <w:rsid w:val="003E75BA"/>
    <w:rsid w:val="003F7140"/>
    <w:rsid w:val="004032BD"/>
    <w:rsid w:val="004034AC"/>
    <w:rsid w:val="00410F0B"/>
    <w:rsid w:val="00411DB6"/>
    <w:rsid w:val="00417C8C"/>
    <w:rsid w:val="004276DE"/>
    <w:rsid w:val="004405CF"/>
    <w:rsid w:val="00445F46"/>
    <w:rsid w:val="00461307"/>
    <w:rsid w:val="004618EC"/>
    <w:rsid w:val="004639A2"/>
    <w:rsid w:val="004659F1"/>
    <w:rsid w:val="00481F36"/>
    <w:rsid w:val="00483B97"/>
    <w:rsid w:val="0049549A"/>
    <w:rsid w:val="004A5F47"/>
    <w:rsid w:val="004B3CB0"/>
    <w:rsid w:val="004C31B8"/>
    <w:rsid w:val="004C7B3C"/>
    <w:rsid w:val="004E06DA"/>
    <w:rsid w:val="004E094E"/>
    <w:rsid w:val="004F182F"/>
    <w:rsid w:val="004F2BA5"/>
    <w:rsid w:val="004F6566"/>
    <w:rsid w:val="00512084"/>
    <w:rsid w:val="00515107"/>
    <w:rsid w:val="00524942"/>
    <w:rsid w:val="005353A1"/>
    <w:rsid w:val="00541071"/>
    <w:rsid w:val="00543DD5"/>
    <w:rsid w:val="00551B85"/>
    <w:rsid w:val="0056164B"/>
    <w:rsid w:val="00566336"/>
    <w:rsid w:val="0057231F"/>
    <w:rsid w:val="0059027F"/>
    <w:rsid w:val="005A08AD"/>
    <w:rsid w:val="005A5A96"/>
    <w:rsid w:val="005A5CB4"/>
    <w:rsid w:val="005A6B3B"/>
    <w:rsid w:val="005B1785"/>
    <w:rsid w:val="005B1F06"/>
    <w:rsid w:val="005B53BE"/>
    <w:rsid w:val="005B6498"/>
    <w:rsid w:val="005C2CCF"/>
    <w:rsid w:val="005D3E98"/>
    <w:rsid w:val="005D6F04"/>
    <w:rsid w:val="005D745F"/>
    <w:rsid w:val="005F04D8"/>
    <w:rsid w:val="005F39BA"/>
    <w:rsid w:val="005F5791"/>
    <w:rsid w:val="005F795E"/>
    <w:rsid w:val="00604525"/>
    <w:rsid w:val="00605C10"/>
    <w:rsid w:val="0062340C"/>
    <w:rsid w:val="006372DF"/>
    <w:rsid w:val="00642EA0"/>
    <w:rsid w:val="00652398"/>
    <w:rsid w:val="006525EE"/>
    <w:rsid w:val="006533C6"/>
    <w:rsid w:val="0065384E"/>
    <w:rsid w:val="00661743"/>
    <w:rsid w:val="00681200"/>
    <w:rsid w:val="00691AEC"/>
    <w:rsid w:val="006B441B"/>
    <w:rsid w:val="006C4B34"/>
    <w:rsid w:val="006C5F94"/>
    <w:rsid w:val="006D07C9"/>
    <w:rsid w:val="006D6CAB"/>
    <w:rsid w:val="006E7E3F"/>
    <w:rsid w:val="006F10F4"/>
    <w:rsid w:val="006F5AD6"/>
    <w:rsid w:val="00700D7E"/>
    <w:rsid w:val="00702E21"/>
    <w:rsid w:val="00703640"/>
    <w:rsid w:val="007208D5"/>
    <w:rsid w:val="007238CD"/>
    <w:rsid w:val="00723CD6"/>
    <w:rsid w:val="0072482E"/>
    <w:rsid w:val="00737790"/>
    <w:rsid w:val="007414F0"/>
    <w:rsid w:val="00742C4F"/>
    <w:rsid w:val="00744752"/>
    <w:rsid w:val="00760CBC"/>
    <w:rsid w:val="00764789"/>
    <w:rsid w:val="00773124"/>
    <w:rsid w:val="00774AEA"/>
    <w:rsid w:val="00794322"/>
    <w:rsid w:val="007955C2"/>
    <w:rsid w:val="007A0B12"/>
    <w:rsid w:val="007A6311"/>
    <w:rsid w:val="007A7832"/>
    <w:rsid w:val="007A7B70"/>
    <w:rsid w:val="007B271C"/>
    <w:rsid w:val="007B7F59"/>
    <w:rsid w:val="007D31EC"/>
    <w:rsid w:val="007D363D"/>
    <w:rsid w:val="007D7FDF"/>
    <w:rsid w:val="007F3B69"/>
    <w:rsid w:val="00801608"/>
    <w:rsid w:val="00801E98"/>
    <w:rsid w:val="00802406"/>
    <w:rsid w:val="00804D29"/>
    <w:rsid w:val="008143BC"/>
    <w:rsid w:val="00814CCB"/>
    <w:rsid w:val="008375D5"/>
    <w:rsid w:val="0085308D"/>
    <w:rsid w:val="00856D1B"/>
    <w:rsid w:val="00860225"/>
    <w:rsid w:val="0087153A"/>
    <w:rsid w:val="008734C4"/>
    <w:rsid w:val="00880F03"/>
    <w:rsid w:val="008976EE"/>
    <w:rsid w:val="008B23F6"/>
    <w:rsid w:val="008B4ADB"/>
    <w:rsid w:val="008B504D"/>
    <w:rsid w:val="008C1209"/>
    <w:rsid w:val="008C608F"/>
    <w:rsid w:val="008C6D19"/>
    <w:rsid w:val="008D2567"/>
    <w:rsid w:val="008D5B00"/>
    <w:rsid w:val="008D6737"/>
    <w:rsid w:val="008E3ADF"/>
    <w:rsid w:val="008E4425"/>
    <w:rsid w:val="008F1D67"/>
    <w:rsid w:val="008F3F1A"/>
    <w:rsid w:val="008F70C2"/>
    <w:rsid w:val="008F7B46"/>
    <w:rsid w:val="00904BCA"/>
    <w:rsid w:val="0090553B"/>
    <w:rsid w:val="00932373"/>
    <w:rsid w:val="00932493"/>
    <w:rsid w:val="009339C0"/>
    <w:rsid w:val="00944E15"/>
    <w:rsid w:val="00945F5C"/>
    <w:rsid w:val="00947EEB"/>
    <w:rsid w:val="00955020"/>
    <w:rsid w:val="009572A6"/>
    <w:rsid w:val="00960547"/>
    <w:rsid w:val="00965C56"/>
    <w:rsid w:val="00966CFF"/>
    <w:rsid w:val="009703A5"/>
    <w:rsid w:val="009710FF"/>
    <w:rsid w:val="009918D7"/>
    <w:rsid w:val="00995819"/>
    <w:rsid w:val="009A1C44"/>
    <w:rsid w:val="009B6099"/>
    <w:rsid w:val="009B79AB"/>
    <w:rsid w:val="009C5203"/>
    <w:rsid w:val="009D2C7A"/>
    <w:rsid w:val="009D79AD"/>
    <w:rsid w:val="00A010CF"/>
    <w:rsid w:val="00A17EEB"/>
    <w:rsid w:val="00A2251A"/>
    <w:rsid w:val="00A33D7F"/>
    <w:rsid w:val="00A35463"/>
    <w:rsid w:val="00A54B73"/>
    <w:rsid w:val="00A56FA6"/>
    <w:rsid w:val="00A668CF"/>
    <w:rsid w:val="00A67AE9"/>
    <w:rsid w:val="00A84020"/>
    <w:rsid w:val="00A84F9A"/>
    <w:rsid w:val="00A85410"/>
    <w:rsid w:val="00AA0406"/>
    <w:rsid w:val="00AB6345"/>
    <w:rsid w:val="00AF7732"/>
    <w:rsid w:val="00B00F40"/>
    <w:rsid w:val="00B0591B"/>
    <w:rsid w:val="00B066B3"/>
    <w:rsid w:val="00B14283"/>
    <w:rsid w:val="00B32E3F"/>
    <w:rsid w:val="00B337CC"/>
    <w:rsid w:val="00B5034B"/>
    <w:rsid w:val="00B52F8E"/>
    <w:rsid w:val="00B53DAA"/>
    <w:rsid w:val="00B5597D"/>
    <w:rsid w:val="00B662A7"/>
    <w:rsid w:val="00B72E98"/>
    <w:rsid w:val="00B82519"/>
    <w:rsid w:val="00B82954"/>
    <w:rsid w:val="00B83ECA"/>
    <w:rsid w:val="00B86B82"/>
    <w:rsid w:val="00B86CAC"/>
    <w:rsid w:val="00B927B1"/>
    <w:rsid w:val="00B93938"/>
    <w:rsid w:val="00BB1901"/>
    <w:rsid w:val="00BC138C"/>
    <w:rsid w:val="00BC3164"/>
    <w:rsid w:val="00BC3FF6"/>
    <w:rsid w:val="00BC41FC"/>
    <w:rsid w:val="00BC6A25"/>
    <w:rsid w:val="00BD4B65"/>
    <w:rsid w:val="00BD6854"/>
    <w:rsid w:val="00BE1C93"/>
    <w:rsid w:val="00BE604D"/>
    <w:rsid w:val="00BE6BA8"/>
    <w:rsid w:val="00BF5780"/>
    <w:rsid w:val="00BF681F"/>
    <w:rsid w:val="00BF71A7"/>
    <w:rsid w:val="00C06BC5"/>
    <w:rsid w:val="00C0757F"/>
    <w:rsid w:val="00C15454"/>
    <w:rsid w:val="00C16D95"/>
    <w:rsid w:val="00C2316E"/>
    <w:rsid w:val="00C30954"/>
    <w:rsid w:val="00C37D4B"/>
    <w:rsid w:val="00C46E65"/>
    <w:rsid w:val="00C5476F"/>
    <w:rsid w:val="00C65B47"/>
    <w:rsid w:val="00C711D4"/>
    <w:rsid w:val="00C724AE"/>
    <w:rsid w:val="00C73AD1"/>
    <w:rsid w:val="00C81192"/>
    <w:rsid w:val="00C86211"/>
    <w:rsid w:val="00C97226"/>
    <w:rsid w:val="00CA29E7"/>
    <w:rsid w:val="00CD3043"/>
    <w:rsid w:val="00CD5532"/>
    <w:rsid w:val="00D001F1"/>
    <w:rsid w:val="00D01709"/>
    <w:rsid w:val="00D0521D"/>
    <w:rsid w:val="00D05ADC"/>
    <w:rsid w:val="00D17E35"/>
    <w:rsid w:val="00D274D9"/>
    <w:rsid w:val="00D33B75"/>
    <w:rsid w:val="00D35EFA"/>
    <w:rsid w:val="00D402D3"/>
    <w:rsid w:val="00D42CA0"/>
    <w:rsid w:val="00D4554E"/>
    <w:rsid w:val="00D45F2E"/>
    <w:rsid w:val="00D71615"/>
    <w:rsid w:val="00D87D3B"/>
    <w:rsid w:val="00D95B56"/>
    <w:rsid w:val="00DB11E3"/>
    <w:rsid w:val="00DC0204"/>
    <w:rsid w:val="00DC196D"/>
    <w:rsid w:val="00DC7EF1"/>
    <w:rsid w:val="00DD3D9C"/>
    <w:rsid w:val="00DE10F8"/>
    <w:rsid w:val="00DE525E"/>
    <w:rsid w:val="00DF38DE"/>
    <w:rsid w:val="00E30A54"/>
    <w:rsid w:val="00E35928"/>
    <w:rsid w:val="00E35E8C"/>
    <w:rsid w:val="00E5316D"/>
    <w:rsid w:val="00E6049C"/>
    <w:rsid w:val="00E61BD3"/>
    <w:rsid w:val="00E80AA5"/>
    <w:rsid w:val="00E827F3"/>
    <w:rsid w:val="00E86785"/>
    <w:rsid w:val="00E94C31"/>
    <w:rsid w:val="00E94C6E"/>
    <w:rsid w:val="00EA74AF"/>
    <w:rsid w:val="00EB249A"/>
    <w:rsid w:val="00EB3BD3"/>
    <w:rsid w:val="00EC544D"/>
    <w:rsid w:val="00ED3AC4"/>
    <w:rsid w:val="00EE30BF"/>
    <w:rsid w:val="00EE34E1"/>
    <w:rsid w:val="00EF309A"/>
    <w:rsid w:val="00F06C06"/>
    <w:rsid w:val="00F10567"/>
    <w:rsid w:val="00F10BDD"/>
    <w:rsid w:val="00F16BCB"/>
    <w:rsid w:val="00F20A5B"/>
    <w:rsid w:val="00F22833"/>
    <w:rsid w:val="00F35889"/>
    <w:rsid w:val="00F4176B"/>
    <w:rsid w:val="00F579AE"/>
    <w:rsid w:val="00F602E4"/>
    <w:rsid w:val="00F608FC"/>
    <w:rsid w:val="00F6594C"/>
    <w:rsid w:val="00F755AD"/>
    <w:rsid w:val="00FA00EC"/>
    <w:rsid w:val="00FA288B"/>
    <w:rsid w:val="00FB18C7"/>
    <w:rsid w:val="00FC22AF"/>
    <w:rsid w:val="00FC2A8A"/>
    <w:rsid w:val="00FC7EAB"/>
    <w:rsid w:val="00FE3901"/>
    <w:rsid w:val="00FE47B3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02FE2"/>
  <w15:docId w15:val="{387CE469-4BF7-482A-995A-5221E49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25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10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10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10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0F4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8602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6022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35E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US"/>
    </w:rPr>
  </w:style>
  <w:style w:type="paragraph" w:styleId="BodyText2">
    <w:name w:val="Body Text 2"/>
    <w:basedOn w:val="Normal"/>
    <w:link w:val="BodyText2Char"/>
    <w:rsid w:val="00764789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link w:val="BodyText2"/>
    <w:rsid w:val="00764789"/>
    <w:rPr>
      <w:rFonts w:ascii="Arial" w:eastAsia="Times New Roman" w:hAnsi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34DA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34DAA"/>
  </w:style>
  <w:style w:type="character" w:styleId="Emphasis">
    <w:name w:val="Emphasis"/>
    <w:basedOn w:val="DefaultParagraphFont"/>
    <w:uiPriority w:val="20"/>
    <w:qFormat/>
    <w:rsid w:val="00334DA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3D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A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AA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2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IG@DECPR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ig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 November, 2008</vt:lpstr>
    </vt:vector>
  </TitlesOfParts>
  <Company>Hewlett-Packard Company</Company>
  <LinksUpToDate>false</LinksUpToDate>
  <CharactersWithSpaces>4309</CharactersWithSpaces>
  <SharedDoc>false</SharedDoc>
  <HLinks>
    <vt:vector size="6" baseType="variant">
      <vt:variant>
        <vt:i4>7209029</vt:i4>
      </vt:variant>
      <vt:variant>
        <vt:i4>3996</vt:i4>
      </vt:variant>
      <vt:variant>
        <vt:i4>1025</vt:i4>
      </vt:variant>
      <vt:variant>
        <vt:i4>1</vt:i4>
      </vt:variant>
      <vt:variant>
        <vt:lpwstr>cid:21AF54D8-270C-4ECE-BF11-D85FB2B28933@local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November, 2008</dc:title>
  <dc:creator>duncan</dc:creator>
  <cp:lastModifiedBy>Danielle Lucas</cp:lastModifiedBy>
  <cp:revision>2</cp:revision>
  <cp:lastPrinted>2017-10-08T22:23:00Z</cp:lastPrinted>
  <dcterms:created xsi:type="dcterms:W3CDTF">2017-10-11T03:10:00Z</dcterms:created>
  <dcterms:modified xsi:type="dcterms:W3CDTF">2017-10-11T03:10:00Z</dcterms:modified>
</cp:coreProperties>
</file>